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Times New Roman"/>
          <w:color w:val="4D4F53"/>
          <w:spacing w:val="15"/>
          <w:sz w:val="32"/>
          <w:szCs w:val="32"/>
          <w:shd w:val="clear" w:color="080000" w:fill="FFFFFF"/>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Times New Roman"/>
          <w:color w:val="4D4F53"/>
          <w:spacing w:val="15"/>
          <w:sz w:val="32"/>
          <w:szCs w:val="32"/>
          <w:shd w:val="clear" w:color="080000" w:fill="FFFFFF"/>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Times New Roman"/>
          <w:color w:val="4D4F53"/>
          <w:spacing w:val="15"/>
          <w:sz w:val="32"/>
          <w:szCs w:val="32"/>
          <w:shd w:val="clear" w:color="080000" w:fill="FFFFFF"/>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Times New Roman"/>
          <w:color w:val="4D4F53"/>
          <w:spacing w:val="15"/>
          <w:sz w:val="32"/>
          <w:szCs w:val="32"/>
          <w:shd w:val="clear" w:color="080000" w:fill="FFFFFF"/>
        </w:rPr>
      </w:pP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p>
    <w:p>
      <w:pPr>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Times New Roman"/>
          <w:color w:val="4D4F53"/>
          <w:spacing w:val="15"/>
          <w:sz w:val="32"/>
          <w:szCs w:val="32"/>
          <w:shd w:val="clear" w:color="080000" w:fill="FFFFFF"/>
        </w:rPr>
      </w:pP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p>
    <w:p>
      <w:pPr>
        <w:spacing w:line="560" w:lineRule="exact"/>
        <w:ind w:firstLine="2640" w:firstLineChars="800"/>
        <w:jc w:val="both"/>
        <w:rPr>
          <w:rFonts w:hint="eastAsia" w:ascii="仿宋_GB2312" w:hAnsi="仿宋_GB2312" w:eastAsia="仿宋_GB2312" w:cs="宋体"/>
          <w:spacing w:val="5"/>
          <w:kern w:val="0"/>
          <w:sz w:val="32"/>
          <w:szCs w:val="32"/>
          <w:lang w:val="en-US" w:eastAsia="zh-CN" w:bidi="ar"/>
        </w:rPr>
      </w:pPr>
      <w:r>
        <w:rPr>
          <w:rFonts w:hint="eastAsia" w:ascii="仿宋_GB2312" w:hAnsi="仿宋_GB2312" w:eastAsia="仿宋_GB2312" w:cs="宋体"/>
          <w:spacing w:val="5"/>
          <w:kern w:val="0"/>
          <w:sz w:val="32"/>
          <w:szCs w:val="32"/>
          <w:lang w:val="en-US" w:eastAsia="zh-CN" w:bidi="ar"/>
        </w:rPr>
        <w:t>和县财教</w:t>
      </w:r>
      <w:r>
        <w:rPr>
          <w:rFonts w:hint="eastAsia" w:ascii="仿宋_GB2312" w:hAnsi="Times New Roman" w:eastAsia="仿宋_GB2312" w:cs="Times New Roman"/>
          <w:w w:val="98"/>
          <w:kern w:val="2"/>
          <w:sz w:val="32"/>
          <w:szCs w:val="32"/>
          <w:lang w:val="en-US" w:eastAsia="zh-CN" w:bidi="ar-SA"/>
        </w:rPr>
        <w:t>〔2023〕</w:t>
      </w:r>
      <w:r>
        <w:rPr>
          <w:rFonts w:hint="eastAsia" w:ascii="仿宋_GB2312" w:hAnsi="仿宋_GB2312" w:eastAsia="仿宋_GB2312" w:cs="宋体"/>
          <w:spacing w:val="5"/>
          <w:kern w:val="0"/>
          <w:sz w:val="32"/>
          <w:szCs w:val="32"/>
          <w:lang w:val="en-US" w:eastAsia="zh-CN" w:bidi="ar"/>
        </w:rPr>
        <w:t>76号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44"/>
          <w:szCs w:val="44"/>
          <w:lang w:val="en-US" w:eastAsia="zh-CN"/>
        </w:rPr>
      </w:pPr>
    </w:p>
    <w:p>
      <w:pPr>
        <w:spacing w:before="0" w:beforeLines="0" w:line="600" w:lineRule="exact"/>
        <w:ind w:firstLine="0" w:firstLineChars="0"/>
        <w:jc w:val="center"/>
        <w:rPr>
          <w:rFonts w:hint="default" w:ascii="方正小标宋简体" w:hAnsi="方正小标宋简体" w:eastAsia="方正小标宋简体" w:cs="方正小标宋简体"/>
          <w:b w:val="0"/>
          <w:bCs w:val="0"/>
          <w:vanish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vanish w:val="0"/>
          <w:sz w:val="44"/>
          <w:szCs w:val="44"/>
          <w:lang w:val="en-US" w:eastAsia="zh-CN"/>
        </w:rPr>
        <w:t>下达</w:t>
      </w:r>
      <w:r>
        <w:rPr>
          <w:rFonts w:hint="default" w:ascii="方正小标宋简体" w:hAnsi="方正小标宋简体" w:eastAsia="方正小标宋简体" w:cs="方正小标宋简体"/>
          <w:b w:val="0"/>
          <w:bCs w:val="0"/>
          <w:vanish w:val="0"/>
          <w:sz w:val="44"/>
          <w:szCs w:val="44"/>
          <w:lang w:val="en-US" w:eastAsia="zh-CN"/>
        </w:rPr>
        <w:t>2023年城乡义务教育补助经费</w:t>
      </w:r>
    </w:p>
    <w:p>
      <w:pPr>
        <w:jc w:val="center"/>
        <w:rPr>
          <w:rFonts w:hint="default" w:ascii="方正小标宋简体" w:hAnsi="方正小标宋简体" w:eastAsia="方正小标宋简体" w:cs="方正小标宋简体"/>
          <w:b w:val="0"/>
          <w:bCs w:val="0"/>
          <w:vanish w:val="0"/>
          <w:sz w:val="44"/>
          <w:szCs w:val="44"/>
          <w:lang w:val="en-US" w:eastAsia="zh-CN"/>
        </w:rPr>
      </w:pPr>
      <w:r>
        <w:rPr>
          <w:rFonts w:hint="default" w:ascii="方正小标宋简体" w:hAnsi="方正小标宋简体" w:eastAsia="方正小标宋简体" w:cs="方正小标宋简体"/>
          <w:b w:val="0"/>
          <w:bCs w:val="0"/>
          <w:vanish w:val="0"/>
          <w:sz w:val="44"/>
          <w:szCs w:val="44"/>
          <w:lang w:val="en-US" w:eastAsia="zh-CN"/>
        </w:rPr>
        <w:t>预算（第二批）中央直达资金的通知</w:t>
      </w:r>
    </w:p>
    <w:p>
      <w:pPr>
        <w:jc w:val="left"/>
        <w:rPr>
          <w:rFonts w:hint="eastAsia" w:ascii="仿宋_GB2312" w:hAnsi="仿宋_GB2312" w:eastAsia="仿宋_GB2312"/>
          <w:b w:val="0"/>
          <w:bCs w:val="0"/>
          <w:spacing w:val="5"/>
          <w:sz w:val="32"/>
          <w:szCs w:val="32"/>
          <w:lang w:val="en-US" w:eastAsia="zh-CN"/>
        </w:rPr>
      </w:pPr>
      <w:r>
        <w:rPr>
          <w:rFonts w:hint="eastAsia" w:ascii="仿宋_GB2312" w:hAnsi="仿宋_GB2312" w:eastAsia="仿宋_GB2312" w:cs="宋体"/>
          <w:b w:val="0"/>
          <w:bCs w:val="0"/>
          <w:spacing w:val="5"/>
          <w:kern w:val="0"/>
          <w:sz w:val="32"/>
          <w:szCs w:val="32"/>
          <w:lang w:val="en-US" w:eastAsia="zh-CN" w:bidi="ar"/>
        </w:rPr>
        <w:t>和田县教育局：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60" w:firstLineChars="200"/>
        <w:jc w:val="both"/>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根据自治区财政厅《关于下达2023年城乡义务教育补助经费预算（第二批）中央直达资金的通知》（</w:t>
      </w:r>
      <w:bookmarkStart w:id="0" w:name="filetype1_2"/>
      <w:r>
        <w:rPr>
          <w:rFonts w:hint="eastAsia" w:ascii="仿宋_GB2312" w:hAnsi="仿宋_GB2312" w:eastAsia="仿宋_GB2312"/>
          <w:spacing w:val="5"/>
          <w:sz w:val="32"/>
          <w:szCs w:val="32"/>
          <w:lang w:val="en-US" w:eastAsia="zh-CN"/>
        </w:rPr>
        <w:t>新财教</w:t>
      </w:r>
      <w:bookmarkEnd w:id="0"/>
      <w:bookmarkStart w:id="1" w:name="year1_2"/>
      <w:r>
        <w:rPr>
          <w:rFonts w:hint="eastAsia" w:ascii="仿宋_GB2312" w:hAnsi="仿宋_GB2312" w:eastAsia="仿宋_GB2312"/>
          <w:spacing w:val="5"/>
          <w:sz w:val="32"/>
          <w:szCs w:val="32"/>
          <w:lang w:val="en-US" w:eastAsia="zh-CN"/>
        </w:rPr>
        <w:t>〔2023〕52号</w:t>
      </w:r>
      <w:bookmarkEnd w:id="1"/>
      <w:r>
        <w:rPr>
          <w:rFonts w:hint="eastAsia" w:ascii="仿宋_GB2312" w:hAnsi="仿宋_GB2312" w:eastAsia="仿宋_GB2312"/>
          <w:spacing w:val="5"/>
          <w:sz w:val="32"/>
          <w:szCs w:val="32"/>
          <w:lang w:val="en-US" w:eastAsia="zh-CN"/>
        </w:rPr>
        <w:t>）文件精神，现下达2023年城乡义务教育补助经费预2289.23万元，其中：城乡义务教育补助经费公用经费1493.4万元；城乡义务教育补助经费家庭经济困难学生补助（奖补）500.51万元；农村学生营养膳食补助1295.32万元；特岗教师工资性补助-1000</w:t>
      </w:r>
      <w:bookmarkStart w:id="2" w:name="_GoBack"/>
      <w:bookmarkEnd w:id="2"/>
      <w:r>
        <w:rPr>
          <w:rFonts w:hint="eastAsia" w:ascii="仿宋_GB2312" w:hAnsi="仿宋_GB2312" w:eastAsia="仿宋_GB2312"/>
          <w:spacing w:val="5"/>
          <w:sz w:val="32"/>
          <w:szCs w:val="32"/>
          <w:lang w:val="en-US" w:eastAsia="zh-CN"/>
        </w:rPr>
        <w:t>万元。收入请列2023年政府收支分类科目“1100245教育共同财政事权转移支付收入”，支出功能分类科目请列“205教育支出”相关项。为加强2023年城乡义务教育补助资金管理，提高资金使用效益，现将有关事项通知如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60" w:firstLineChars="200"/>
        <w:jc w:val="both"/>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一，提高义务教育学校公用经费保障水平。为贯彻落实中央办公厅、国务院办公厅《关于进一步减轻义务教育阶段学生作业负担和校外培训负担的意见》，支持义务教育学校落实“双减”政策、提升课后服务水平，经国务院批准，从2023年春季学期起提高义务教育学校生均公用经费基准定额，小学由年生均650元提高到720元，初中由850元提高到940元。在此基础上，将原来对寄宿制学校按照寄宿生年生均200元标准增加公用经费补助，提高到300元。严禁挤占、挪用、截留、克扣经费，确保学校正常运转。</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60" w:firstLineChars="200"/>
        <w:jc w:val="both"/>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二、落实好学生“两免一补”和营养膳食补助政策。教育局组织学校持续做好家庭经济困难学生认定和生活补助发放工作，进一步提高资助精准度，避免出现执行统一资助面等“一刀切”情况。深入实施农村义务教育学生营养改善计划，确保营养膳食补助政策落实到位，持续改善欠发达地区学生营养健康状况。</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60" w:firstLineChars="200"/>
        <w:jc w:val="both"/>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三、加强资金使用管理。城乡义务教育补助经费纳入直达资金范围管理，直达资金标识贯穿资金分配、拨付、使用等整个环节，且保持不变。财政部对直达资金实行动态监控。教育局要严格落实预算执行监督专项行动要求，确保各项政策落实到位。要对照调整后的区域绩效目标同步分解下达绩效目标，强化绩效监控和评价，注重绩效评价结果运用，做好全过程预算绩效管理。</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60" w:firstLineChars="200"/>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附件：1.2023年城乡义务教育补助经费预算分配表</w:t>
      </w:r>
      <w:r>
        <w:rPr>
          <w:rFonts w:hint="eastAsia" w:ascii="仿宋_GB2312" w:hAnsi="仿宋_GB2312" w:eastAsia="仿宋_GB2312"/>
          <w:spacing w:val="5"/>
          <w:sz w:val="32"/>
          <w:szCs w:val="32"/>
          <w:lang w:val="en-US" w:eastAsia="zh-CN"/>
        </w:rPr>
        <w:br w:type="textWrapping"/>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950" w:firstLineChars="1500"/>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和田县财政局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en-US" w:eastAsia="zh-CN"/>
        </w:rPr>
        <w:t>2023年6月3日</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4620" w:firstLineChars="1400"/>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pacing w:val="5"/>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zh-CN"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3327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327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19.9pt;z-index:251658240;mso-width-relative:page;mso-height-relative:page;" filled="f" stroked="t" coordsize="21600,21600" o:gfxdata="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E/NWNIAAAACAQAADwAAAAAAAAABACAA&#10;AAAiAAAAZHJzL2Rvd25yZXYueG1sUEsBAhQAFAAAAAgAh07iQImg2LTaAQAAlgMAAA4AAAAAAAAA&#10;AQAgAAAAIQEAAGRycy9lMm9Eb2MueG1sUEsFBgAAAAAGAAYAWQEAAG0FAAAAAA==&#10;">
                <v:fill on="f" focussize="0,0"/>
                <v:stroke color="#000000" joinstyle="round"/>
                <v:imagedata o:title=""/>
                <o:lock v:ext="edit" aspectratio="f"/>
              </v:line>
            </w:pict>
          </mc:Fallback>
        </mc:AlternateContent>
      </w:r>
      <w:r>
        <w:rPr>
          <w:rFonts w:hint="eastAsia" w:ascii="仿宋_GB2312" w:hAnsi="仿宋_GB2312" w:eastAsia="仿宋_GB2312"/>
          <w:spacing w:val="5"/>
          <w:sz w:val="32"/>
          <w:szCs w:val="32"/>
          <w:lang w:val="en-US" w:eastAsia="zh-CN"/>
        </w:rPr>
        <w:t>抄送:和田县教育局、预算股</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pt;height:0pt;width:423pt;z-index:251659264;mso-width-relative:page;mso-height-relative:page;" filled="f" stroked="t" coordsize="21600,21600" o:gfxdata="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qNbatEAAAAEAQAADwAAAAAAAAABACAA&#10;AAAiAAAAZHJzL2Rvd25yZXYueG1sUEsBAhQAFAAAAAgAh07iQK7f1O3bAQAAlgMAAA4AAAAAAAAA&#10;AQAgAAAAIAEAAGRycy9lMm9Eb2MueG1sUEsFBgAAAAAGAAYAWQEAAG0FAAAAAA==&#10;">
                <v:fill on="f" focussize="0,0"/>
                <v:stroke color="#000000" joinstyle="round"/>
                <v:imagedata o:title=""/>
                <o:lock v:ext="edit" aspectratio="f"/>
              </v:line>
            </w:pict>
          </mc:Fallback>
        </mc:AlternateContent>
      </w:r>
      <w:r>
        <w:rPr>
          <w:rFonts w:hint="eastAsia" w:ascii="仿宋_GB2312" w:hAnsi="仿宋_GB2312" w:eastAsia="仿宋_GB2312"/>
          <w:spacing w:val="5"/>
          <w:sz w:val="32"/>
          <w:szCs w:val="32"/>
          <w:lang w:val="en-US" w:eastAsia="zh-CN"/>
        </w:rPr>
        <w:t>和田县财政局                2023年6月3印发</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60" w:firstLineChars="200"/>
        <w:textAlignment w:val="auto"/>
        <w:outlineLvl w:val="9"/>
        <w:rPr>
          <w:rFonts w:hint="eastAsia" w:ascii="仿宋_GB2312" w:hAnsi="仿宋_GB2312" w:eastAsia="仿宋_GB2312"/>
          <w:spacing w:val="5"/>
          <w:sz w:val="32"/>
          <w:szCs w:val="32"/>
          <w:lang w:val="en-US" w:eastAsia="zh-CN"/>
        </w:rPr>
      </w:pPr>
      <w:r>
        <w:rPr>
          <w:rFonts w:hint="eastAsia" w:ascii="仿宋_GB2312" w:hAnsi="仿宋_GB2312" w:eastAsia="仿宋_GB2312"/>
          <w:spacing w:val="5"/>
          <w:sz w:val="32"/>
          <w:szCs w:val="32"/>
          <w:lang w:val="zh-CN" w:eastAsia="zh-CN"/>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50165</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3.95pt;height:0pt;width:423pt;z-index:251660288;mso-width-relative:page;mso-height-relative:page;" filled="f" stroked="t" coordsize="21600,21600" o:gfxdata="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8maY1AAAAAYBAAAPAAAAAAAAAAEA&#10;IAAAACIAAABkcnMvZG93bnJldi54bWxQSwECFAAUAAAACACHTuJAv7SwgNoBAACWAwAADgAAAAAA&#10;AAABACAAAAAjAQAAZHJzL2Uyb0RvYy54bWxQSwUGAAAAAAYABgBZAQAAbwUAAAAA&#10;">
                <v:fill on="f" focussize="0,0"/>
                <v:stroke color="#000000" joinstyle="round"/>
                <v:imagedata o:title=""/>
                <o:lock v:ext="edit" aspectratio="f"/>
              </v:line>
            </w:pict>
          </mc:Fallback>
        </mc:AlternateContent>
      </w:r>
    </w:p>
    <w:p/>
    <w:tbl>
      <w:tblPr>
        <w:tblStyle w:val="5"/>
        <w:tblW w:w="83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0"/>
        <w:gridCol w:w="366"/>
        <w:gridCol w:w="614"/>
        <w:gridCol w:w="399"/>
        <w:gridCol w:w="399"/>
        <w:gridCol w:w="399"/>
        <w:gridCol w:w="399"/>
        <w:gridCol w:w="399"/>
        <w:gridCol w:w="399"/>
        <w:gridCol w:w="399"/>
        <w:gridCol w:w="399"/>
        <w:gridCol w:w="399"/>
        <w:gridCol w:w="399"/>
        <w:gridCol w:w="399"/>
        <w:gridCol w:w="399"/>
        <w:gridCol w:w="399"/>
        <w:gridCol w:w="399"/>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30" w:hRule="atLeast"/>
        </w:trPr>
        <w:tc>
          <w:tcPr>
            <w:tcW w:w="8301" w:type="dxa"/>
            <w:gridSpan w:val="1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28"/>
                <w:szCs w:val="28"/>
                <w:u w:val="none"/>
              </w:rPr>
            </w:pPr>
            <w:r>
              <w:rPr>
                <w:rFonts w:hint="eastAsia" w:ascii="方正小标宋简体" w:hAnsi="方正小标宋简体" w:eastAsia="方正小标宋简体" w:cs="方正小标宋简体"/>
                <w:b/>
                <w:i w:val="0"/>
                <w:color w:val="000000"/>
                <w:kern w:val="0"/>
                <w:sz w:val="36"/>
                <w:szCs w:val="36"/>
                <w:u w:val="none"/>
                <w:lang w:val="en-US" w:eastAsia="zh-CN" w:bidi="ar"/>
              </w:rPr>
              <w:t>2023年城乡义务教育补助经费预算分配表（第二批）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24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9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序号</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单位（县区市）</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本次下达</w:t>
            </w:r>
          </w:p>
        </w:tc>
        <w:tc>
          <w:tcPr>
            <w:tcW w:w="15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公用经费</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免费教科书</w:t>
            </w:r>
          </w:p>
        </w:tc>
        <w:tc>
          <w:tcPr>
            <w:tcW w:w="279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家庭经济困难学生生活补助</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校舍安全保障</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特岗教师工资性补助</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农村学生营养膳食补助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合计</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小学</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初中</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特教</w:t>
            </w: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家庭经济困难学生生活补助（合计）</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小学</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初中</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综合奖补  （合计）</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小学</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初中</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6"/>
                <w:szCs w:val="16"/>
                <w:u w:val="none"/>
              </w:rPr>
            </w:pPr>
            <w:r>
              <w:rPr>
                <w:rFonts w:hint="default" w:ascii="仿宋_GB2312" w:hAnsi="宋体" w:eastAsia="仿宋_GB2312" w:cs="仿宋_GB2312"/>
                <w:b/>
                <w:i w:val="0"/>
                <w:color w:val="000000"/>
                <w:kern w:val="0"/>
                <w:sz w:val="16"/>
                <w:szCs w:val="16"/>
                <w:u w:val="none"/>
                <w:lang w:val="en-US" w:eastAsia="zh-CN" w:bidi="ar"/>
              </w:rPr>
              <w:t>特殊教育</w:t>
            </w: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0"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b/>
                <w:i w:val="0"/>
                <w:color w:val="000000"/>
                <w:sz w:val="12"/>
                <w:szCs w:val="12"/>
                <w:u w:val="none"/>
              </w:rPr>
            </w:pPr>
            <w:r>
              <w:rPr>
                <w:rFonts w:hint="default" w:ascii="等线" w:hAnsi="等线" w:eastAsia="等线" w:cs="等线"/>
                <w:b/>
                <w:i w:val="0"/>
                <w:color w:val="000000"/>
                <w:kern w:val="0"/>
                <w:sz w:val="12"/>
                <w:szCs w:val="12"/>
                <w:u w:val="none"/>
                <w:lang w:val="en-US" w:eastAsia="zh-CN" w:bidi="ar"/>
              </w:rPr>
              <w:t>和田县</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2"/>
                <w:szCs w:val="12"/>
                <w:u w:val="none"/>
              </w:rPr>
            </w:pPr>
            <w:r>
              <w:rPr>
                <w:rFonts w:hint="default" w:ascii="Times New Roman" w:hAnsi="Times New Roman" w:eastAsia="宋体" w:cs="Times New Roman"/>
                <w:b/>
                <w:i w:val="0"/>
                <w:color w:val="000000"/>
                <w:kern w:val="0"/>
                <w:sz w:val="12"/>
                <w:szCs w:val="12"/>
                <w:u w:val="none"/>
                <w:lang w:val="en-US" w:eastAsia="zh-CN" w:bidi="ar"/>
              </w:rPr>
              <w:t>2289.23</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1493.4</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928.15</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505.69</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59.56</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2"/>
                <w:szCs w:val="12"/>
                <w:u w:val="none"/>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208.02</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 xml:space="preserve">93.33 </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 xml:space="preserve">114.69 </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 xml:space="preserve">292.49 </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 xml:space="preserve">142.38 </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 xml:space="preserve">150.11 </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 xml:space="preserve">0.00 </w:t>
            </w:r>
          </w:p>
        </w:tc>
        <w:tc>
          <w:tcPr>
            <w:tcW w:w="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0</w:t>
            </w:r>
          </w:p>
        </w:tc>
        <w:tc>
          <w:tcPr>
            <w:tcW w:w="3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-1000</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2"/>
                <w:szCs w:val="12"/>
                <w:u w:val="none"/>
              </w:rPr>
            </w:pPr>
            <w:r>
              <w:rPr>
                <w:rFonts w:hint="default" w:ascii="Times New Roman" w:hAnsi="Times New Roman" w:eastAsia="宋体" w:cs="Times New Roman"/>
                <w:i w:val="0"/>
                <w:color w:val="000000"/>
                <w:kern w:val="0"/>
                <w:sz w:val="12"/>
                <w:szCs w:val="12"/>
                <w:u w:val="none"/>
                <w:lang w:val="en-US" w:eastAsia="zh-CN" w:bidi="ar"/>
              </w:rPr>
              <w:t>1295.32</w:t>
            </w:r>
          </w:p>
        </w:tc>
      </w:tr>
    </w:tbl>
    <w:p>
      <w:pPr>
        <w:pStyle w:val="2"/>
      </w:pPr>
    </w:p>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22110"/>
    <w:rsid w:val="1F1A5229"/>
    <w:rsid w:val="25DF3357"/>
    <w:rsid w:val="279B5ADC"/>
    <w:rsid w:val="2F222FAF"/>
    <w:rsid w:val="30D514B4"/>
    <w:rsid w:val="3BAB2A3C"/>
    <w:rsid w:val="3C246FA0"/>
    <w:rsid w:val="3EA90206"/>
    <w:rsid w:val="4102560C"/>
    <w:rsid w:val="42D56D4A"/>
    <w:rsid w:val="470F70C2"/>
    <w:rsid w:val="482F6BE0"/>
    <w:rsid w:val="4DB70201"/>
    <w:rsid w:val="5423554D"/>
    <w:rsid w:val="620A3701"/>
    <w:rsid w:val="654A6C16"/>
    <w:rsid w:val="72BF5010"/>
    <w:rsid w:val="7B2E2CF0"/>
    <w:rsid w:val="7B68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2023-08-04T04:29:00Z</dcterms:created>
  <dc:creator>Administrator</dc:creator>
  <cp:lastModifiedBy>Administrator</cp:lastModifiedBy>
  <cp:lastPrinted>2023-08-04T04:55:00Z</cp:lastPrinted>
  <dcterms:modified xsi:type="dcterms:W3CDTF">2023-08-14T08:54:10Z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